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Lomma kommunfullmäktige</w:t>
      </w:r>
    </w:p>
    <w:p>
      <w:pPr>
        <w:pStyle w:val="Heading1"/>
      </w:pPr>
      <w:r>
        <w:t xml:space="preserve">Likvärdig skola med extra stöd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Lomma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Skolverkets statistik visar skillnader i meritvärden mellan skolor i Lomma. Elever i områden med lägre socioekonomisk status behöver mer stöd för att uppnå likvärdighet.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Lomma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riktade läs- och matteinsatser i grundskolan från årskurs 1.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speciallärare med 5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garantera max 25 elever per klass i årskurs 1–3.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läxhjälp och fritidsaktiviteter i samverkan med föreningslivet.</w:t>
      </w:r>
    </w:p>
    <w:p>
      <w:pPr>
        <w:spacing w:before="360"/>
      </w:pPr>
    </w:p>
    <w:p>
      <w:r>
        <w:t xml:space="preserve">Lomma,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Lomma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2026-07-14T00:43:40.120Z</dcterms:created>
  <dcterms:modified xsi:type="dcterms:W3CDTF">2026-07-14T00:43:40.121Z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